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AA" w:rsidRPr="00D42CB1" w:rsidRDefault="00EA2BAA" w:rsidP="00EA2BAA">
      <w:pPr>
        <w:rPr>
          <w:sz w:val="20"/>
          <w:szCs w:val="20"/>
        </w:rPr>
      </w:pPr>
      <w:bookmarkStart w:id="0" w:name="_GoBack"/>
      <w:bookmarkEnd w:id="0"/>
      <w:r>
        <w:t>Name</w:t>
      </w:r>
      <w:r w:rsidR="00F74BD1">
        <w:t>(s)</w:t>
      </w:r>
      <w:r>
        <w:t>: ______________________________________</w:t>
      </w:r>
    </w:p>
    <w:p w:rsidR="00EA2BAA" w:rsidRDefault="00EA2BAA" w:rsidP="00EA2BAA">
      <w:pPr>
        <w:spacing w:after="0"/>
        <w:jc w:val="center"/>
        <w:rPr>
          <w:b/>
        </w:rPr>
      </w:pPr>
      <w:r>
        <w:rPr>
          <w:b/>
        </w:rPr>
        <w:t>WAR-</w:t>
      </w:r>
      <w:proofErr w:type="spellStart"/>
      <w:r>
        <w:rPr>
          <w:b/>
        </w:rPr>
        <w:t>pedia</w:t>
      </w:r>
      <w:proofErr w:type="spellEnd"/>
      <w:r>
        <w:rPr>
          <w:b/>
        </w:rPr>
        <w:t xml:space="preserve">: Wiki </w:t>
      </w:r>
      <w:r w:rsidRPr="00A01DDA">
        <w:rPr>
          <w:b/>
        </w:rPr>
        <w:t>Inquiry and Presentation Rubric</w:t>
      </w:r>
    </w:p>
    <w:p w:rsidR="00EA2BAA" w:rsidRPr="00A01DDA" w:rsidRDefault="00EA2BAA" w:rsidP="00EA2BAA">
      <w:pPr>
        <w:spacing w:after="0"/>
        <w:jc w:val="center"/>
        <w:rPr>
          <w:b/>
        </w:rPr>
      </w:pPr>
      <w:r>
        <w:rPr>
          <w:b/>
        </w:rPr>
        <w:t>Non-negotiable Assignment</w:t>
      </w:r>
    </w:p>
    <w:p w:rsidR="00EA2BAA" w:rsidRDefault="00EA2BAA" w:rsidP="00EA2B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4"/>
        <w:gridCol w:w="1985"/>
        <w:gridCol w:w="1984"/>
        <w:gridCol w:w="1985"/>
      </w:tblGrid>
      <w:tr w:rsidR="00EA2BAA" w:rsidTr="007770D9"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EA2BAA" w:rsidRDefault="00EA2BAA" w:rsidP="007770D9"/>
        </w:tc>
        <w:tc>
          <w:tcPr>
            <w:tcW w:w="1984" w:type="dxa"/>
            <w:shd w:val="clear" w:color="auto" w:fill="F2F2F2" w:themeFill="background1" w:themeFillShade="F2"/>
          </w:tcPr>
          <w:p w:rsidR="00EA2BAA" w:rsidRPr="001320C3" w:rsidRDefault="00EA2BAA" w:rsidP="007770D9">
            <w:pPr>
              <w:rPr>
                <w:b/>
              </w:rPr>
            </w:pPr>
            <w:r w:rsidRPr="001320C3">
              <w:rPr>
                <w:b/>
              </w:rPr>
              <w:t>Research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A2BAA" w:rsidRPr="001320C3" w:rsidRDefault="00EA2BAA" w:rsidP="007770D9">
            <w:pPr>
              <w:rPr>
                <w:b/>
              </w:rPr>
            </w:pPr>
            <w:r w:rsidRPr="001320C3">
              <w:rPr>
                <w:b/>
              </w:rPr>
              <w:t>Product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A2BAA" w:rsidRPr="00DC6937" w:rsidRDefault="00EA2BAA" w:rsidP="007770D9">
            <w:pPr>
              <w:rPr>
                <w:b/>
              </w:rPr>
            </w:pPr>
            <w:r w:rsidRPr="00DC6937">
              <w:rPr>
                <w:b/>
              </w:rPr>
              <w:t>Layout / Design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A2BAA" w:rsidRPr="00DC6937" w:rsidRDefault="00EA2BAA" w:rsidP="007770D9">
            <w:pPr>
              <w:rPr>
                <w:b/>
              </w:rPr>
            </w:pPr>
            <w:r w:rsidRPr="00DC6937">
              <w:rPr>
                <w:b/>
              </w:rPr>
              <w:t>Group Work</w:t>
            </w:r>
          </w:p>
        </w:tc>
      </w:tr>
      <w:tr w:rsidR="00EA2BAA" w:rsidTr="007770D9">
        <w:tc>
          <w:tcPr>
            <w:tcW w:w="1638" w:type="dxa"/>
            <w:shd w:val="clear" w:color="auto" w:fill="F2F2F2" w:themeFill="background1" w:themeFillShade="F2"/>
          </w:tcPr>
          <w:p w:rsidR="00EA2BAA" w:rsidRPr="001320C3" w:rsidRDefault="00EA2BAA" w:rsidP="007770D9">
            <w:pPr>
              <w:rPr>
                <w:b/>
              </w:rPr>
            </w:pPr>
            <w:r w:rsidRPr="001320C3">
              <w:rPr>
                <w:b/>
              </w:rPr>
              <w:t>Accomplished</w:t>
            </w:r>
          </w:p>
        </w:tc>
        <w:tc>
          <w:tcPr>
            <w:tcW w:w="1984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 xml:space="preserve">Initiates high-level inquiry </w:t>
            </w:r>
            <w:r>
              <w:rPr>
                <w:rFonts w:cs="TimesNewRomanPSMT"/>
                <w:sz w:val="20"/>
                <w:szCs w:val="20"/>
              </w:rPr>
              <w:t xml:space="preserve">by </w:t>
            </w:r>
            <w:r w:rsidRPr="001320C3">
              <w:rPr>
                <w:rFonts w:cs="TimesNewRomanPSMT"/>
                <w:sz w:val="20"/>
                <w:szCs w:val="20"/>
              </w:rPr>
              <w:t xml:space="preserve">formulating probing </w:t>
            </w:r>
            <w:r>
              <w:rPr>
                <w:rFonts w:cs="TimesNewRomanPSMT"/>
                <w:sz w:val="20"/>
                <w:szCs w:val="20"/>
              </w:rPr>
              <w:t xml:space="preserve">questions, </w:t>
            </w:r>
            <w:r w:rsidRPr="001320C3">
              <w:rPr>
                <w:rFonts w:cs="TimesNewRomanPSMT"/>
                <w:sz w:val="20"/>
                <w:szCs w:val="20"/>
              </w:rPr>
              <w:t>identifying the needed information,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locating, examining, and analyzing various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20C3">
              <w:rPr>
                <w:rFonts w:cs="TimesNewRomanPSMT"/>
                <w:sz w:val="20"/>
                <w:szCs w:val="20"/>
              </w:rPr>
              <w:t>resources, and creating complete source citations</w:t>
            </w:r>
          </w:p>
        </w:tc>
        <w:tc>
          <w:tcPr>
            <w:tcW w:w="1985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Demonstrates thorough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understanding of topic, the </w:t>
            </w:r>
            <w:r w:rsidRPr="001320C3">
              <w:rPr>
                <w:rFonts w:cs="TimesNewRomanPSMT"/>
                <w:sz w:val="20"/>
                <w:szCs w:val="20"/>
              </w:rPr>
              <w:t>ability to make numerous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connections, and is a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powerful, high quality a</w:t>
            </w:r>
            <w:r>
              <w:rPr>
                <w:rFonts w:cs="TimesNewRomanPSMT"/>
                <w:sz w:val="20"/>
                <w:szCs w:val="20"/>
              </w:rPr>
              <w:t xml:space="preserve">id </w:t>
            </w:r>
            <w:r w:rsidRPr="001320C3">
              <w:rPr>
                <w:rFonts w:cs="TimesNewRomanPSMT"/>
                <w:sz w:val="20"/>
                <w:szCs w:val="20"/>
              </w:rPr>
              <w:t>to share learning</w:t>
            </w:r>
          </w:p>
        </w:tc>
        <w:tc>
          <w:tcPr>
            <w:tcW w:w="1984" w:type="dxa"/>
          </w:tcPr>
          <w:p w:rsidR="00EA2BAA" w:rsidRPr="00DC6937" w:rsidRDefault="00EA2BAA" w:rsidP="007770D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C6937">
              <w:rPr>
                <w:rFonts w:asciiTheme="minorHAnsi" w:hAnsiTheme="minorHAnsi"/>
                <w:sz w:val="20"/>
                <w:szCs w:val="20"/>
              </w:rPr>
              <w:t>The pages are well organized with tables. Text spacing and alignment make reading easy. The backgrounds enhance the page.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Images are used creatively and support content</w:t>
            </w:r>
            <w:r w:rsidRPr="00DC69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A2BAA" w:rsidRPr="00A01DDA" w:rsidRDefault="00EA2BAA" w:rsidP="007770D9">
            <w:pPr>
              <w:rPr>
                <w:sz w:val="20"/>
                <w:szCs w:val="20"/>
              </w:rPr>
            </w:pPr>
            <w:r w:rsidRPr="00A01DDA">
              <w:rPr>
                <w:rFonts w:cs="Arial"/>
                <w:sz w:val="20"/>
                <w:szCs w:val="20"/>
              </w:rPr>
              <w:t>Partners show respect for one another's ideas, divide the work fairly, and show a commitment to quality work and support for each other.</w:t>
            </w:r>
          </w:p>
        </w:tc>
      </w:tr>
      <w:tr w:rsidR="00EA2BAA" w:rsidTr="007770D9">
        <w:tc>
          <w:tcPr>
            <w:tcW w:w="1638" w:type="dxa"/>
            <w:shd w:val="clear" w:color="auto" w:fill="F2F2F2" w:themeFill="background1" w:themeFillShade="F2"/>
          </w:tcPr>
          <w:p w:rsidR="00EA2BAA" w:rsidRPr="001320C3" w:rsidRDefault="00EA2BAA" w:rsidP="007770D9">
            <w:pPr>
              <w:rPr>
                <w:b/>
              </w:rPr>
            </w:pPr>
            <w:r w:rsidRPr="001320C3">
              <w:rPr>
                <w:b/>
              </w:rPr>
              <w:t>Proficient</w:t>
            </w:r>
          </w:p>
        </w:tc>
        <w:tc>
          <w:tcPr>
            <w:tcW w:w="1984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Initiates inquiry, by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formulating probing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questions, identifying the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20C3">
              <w:rPr>
                <w:rFonts w:cs="TimesNewRomanPSMT"/>
                <w:sz w:val="20"/>
                <w:szCs w:val="20"/>
              </w:rPr>
              <w:t>needed information,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locating and examining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20C3">
              <w:rPr>
                <w:rFonts w:cs="TimesNewRomanPSMT"/>
                <w:sz w:val="20"/>
                <w:szCs w:val="20"/>
              </w:rPr>
              <w:t>resources, and creating</w:t>
            </w:r>
          </w:p>
          <w:p w:rsidR="00EA2BAA" w:rsidRDefault="00EA2BAA" w:rsidP="007770D9">
            <w:r w:rsidRPr="001320C3">
              <w:rPr>
                <w:rFonts w:cs="TimesNewRomanPSMT"/>
                <w:sz w:val="20"/>
                <w:szCs w:val="20"/>
              </w:rPr>
              <w:t>complete source citations</w:t>
            </w:r>
          </w:p>
        </w:tc>
        <w:tc>
          <w:tcPr>
            <w:tcW w:w="1985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Demonstrates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understanding of topic, the </w:t>
            </w:r>
            <w:r w:rsidRPr="001320C3">
              <w:rPr>
                <w:rFonts w:cs="TimesNewRomanPSMT"/>
                <w:sz w:val="20"/>
                <w:szCs w:val="20"/>
              </w:rPr>
              <w:t>ability to make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20C3">
              <w:rPr>
                <w:rFonts w:cs="TimesNewRomanPSMT"/>
                <w:sz w:val="20"/>
                <w:szCs w:val="20"/>
              </w:rPr>
              <w:t>connections, and serves as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an meaningful high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quality, aid to share</w:t>
            </w:r>
          </w:p>
          <w:p w:rsidR="00EA2BAA" w:rsidRPr="001320C3" w:rsidRDefault="00EA2BAA" w:rsidP="007770D9">
            <w:pPr>
              <w:rPr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learning</w:t>
            </w:r>
          </w:p>
        </w:tc>
        <w:tc>
          <w:tcPr>
            <w:tcW w:w="1984" w:type="dxa"/>
          </w:tcPr>
          <w:p w:rsidR="00EA2BAA" w:rsidRPr="00DC6937" w:rsidRDefault="00EA2BAA" w:rsidP="007770D9">
            <w:pPr>
              <w:rPr>
                <w:sz w:val="20"/>
                <w:szCs w:val="20"/>
              </w:rPr>
            </w:pPr>
            <w:r w:rsidRPr="00DC6937">
              <w:rPr>
                <w:sz w:val="20"/>
                <w:szCs w:val="20"/>
              </w:rPr>
              <w:t>The pages are eye-catching and attractive. Text is easy to read. The backgrounds are subtle and appropriate.</w:t>
            </w:r>
            <w:r>
              <w:rPr>
                <w:sz w:val="20"/>
                <w:szCs w:val="20"/>
              </w:rPr>
              <w:t xml:space="preserve"> Images </w:t>
            </w:r>
            <w:r w:rsidRPr="00DC6937">
              <w:rPr>
                <w:sz w:val="20"/>
                <w:szCs w:val="20"/>
              </w:rPr>
              <w:t>are appropriate, of high quality, and download fairly quickly.</w:t>
            </w:r>
          </w:p>
        </w:tc>
        <w:tc>
          <w:tcPr>
            <w:tcW w:w="1985" w:type="dxa"/>
          </w:tcPr>
          <w:p w:rsidR="00EA2BAA" w:rsidRPr="00A01DDA" w:rsidRDefault="00EA2BAA" w:rsidP="007770D9">
            <w:pPr>
              <w:rPr>
                <w:sz w:val="20"/>
                <w:szCs w:val="20"/>
              </w:rPr>
            </w:pPr>
            <w:r w:rsidRPr="00A01DDA">
              <w:rPr>
                <w:rFonts w:cs="Arial"/>
                <w:sz w:val="20"/>
                <w:szCs w:val="20"/>
              </w:rPr>
              <w:t>Partners show respect for one another's ideas and divide the work fairly. There is commitment by some members toward quality work and support of one another. There may have been a few arguments but they were handled well.</w:t>
            </w:r>
          </w:p>
        </w:tc>
      </w:tr>
      <w:tr w:rsidR="00EA2BAA" w:rsidTr="007770D9">
        <w:tc>
          <w:tcPr>
            <w:tcW w:w="1638" w:type="dxa"/>
            <w:shd w:val="clear" w:color="auto" w:fill="F2F2F2" w:themeFill="background1" w:themeFillShade="F2"/>
          </w:tcPr>
          <w:p w:rsidR="00EA2BAA" w:rsidRPr="001320C3" w:rsidRDefault="00EA2BAA" w:rsidP="007770D9">
            <w:pPr>
              <w:rPr>
                <w:b/>
              </w:rPr>
            </w:pPr>
            <w:r w:rsidRPr="001320C3">
              <w:rPr>
                <w:b/>
              </w:rPr>
              <w:t>Amateur</w:t>
            </w:r>
          </w:p>
        </w:tc>
        <w:tc>
          <w:tcPr>
            <w:tcW w:w="1984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Initiates inquiry by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formulating probing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questions, locating, and </w:t>
            </w:r>
            <w:r w:rsidRPr="001320C3">
              <w:rPr>
                <w:rFonts w:cs="TimesNewRomanPSMT"/>
                <w:sz w:val="20"/>
                <w:szCs w:val="20"/>
              </w:rPr>
              <w:t>using resources, 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20C3">
              <w:rPr>
                <w:rFonts w:cs="TimesNewRomanPSMT"/>
                <w:sz w:val="20"/>
                <w:szCs w:val="20"/>
              </w:rPr>
              <w:t>creating source citations</w:t>
            </w:r>
          </w:p>
        </w:tc>
        <w:tc>
          <w:tcPr>
            <w:tcW w:w="1985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Demonstrates new learning, the ability to make basic connections,</w:t>
            </w:r>
          </w:p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and serves</w:t>
            </w:r>
            <w:r>
              <w:rPr>
                <w:rFonts w:cs="TimesNewRomanPSMT"/>
                <w:sz w:val="20"/>
                <w:szCs w:val="20"/>
              </w:rPr>
              <w:t xml:space="preserve"> as an aid to </w:t>
            </w:r>
            <w:r w:rsidRPr="001320C3">
              <w:rPr>
                <w:rFonts w:cs="TimesNewRomanPSMT"/>
                <w:sz w:val="20"/>
                <w:szCs w:val="20"/>
              </w:rPr>
              <w:t>share new learning</w:t>
            </w:r>
          </w:p>
        </w:tc>
        <w:tc>
          <w:tcPr>
            <w:tcW w:w="1984" w:type="dxa"/>
          </w:tcPr>
          <w:p w:rsidR="00EA2BAA" w:rsidRPr="00DC6937" w:rsidRDefault="00EA2BAA" w:rsidP="007770D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C6937">
              <w:rPr>
                <w:rFonts w:asciiTheme="minorHAnsi" w:hAnsiTheme="minorHAnsi"/>
                <w:sz w:val="20"/>
                <w:szCs w:val="20"/>
              </w:rPr>
              <w:t>The pages appear "busy" or "boring". Text may be difficult to read. The backgrounds are somewhat distracting.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Images </w:t>
            </w:r>
            <w:r w:rsidRPr="00DC6937">
              <w:rPr>
                <w:rFonts w:asciiTheme="minorHAnsi" w:hAnsiTheme="minorHAnsi"/>
                <w:sz w:val="20"/>
                <w:szCs w:val="20"/>
              </w:rPr>
              <w:t>do not "fit" with the topic. Too many pictures make the download time slow.</w:t>
            </w:r>
          </w:p>
        </w:tc>
        <w:tc>
          <w:tcPr>
            <w:tcW w:w="1985" w:type="dxa"/>
          </w:tcPr>
          <w:p w:rsidR="00EA2BAA" w:rsidRPr="00A01DDA" w:rsidRDefault="00EA2BAA" w:rsidP="007770D9">
            <w:pPr>
              <w:rPr>
                <w:sz w:val="20"/>
                <w:szCs w:val="20"/>
              </w:rPr>
            </w:pPr>
            <w:r w:rsidRPr="00A01DDA">
              <w:rPr>
                <w:rFonts w:cs="Arial"/>
                <w:sz w:val="20"/>
                <w:szCs w:val="20"/>
              </w:rPr>
              <w:t>Partners show respect for one another's ideas and divide the work fairly. There is little evidence of a commitment toward quality work in the group or there were some arguments.</w:t>
            </w:r>
          </w:p>
        </w:tc>
      </w:tr>
      <w:tr w:rsidR="00EA2BAA" w:rsidTr="007770D9">
        <w:tc>
          <w:tcPr>
            <w:tcW w:w="1638" w:type="dxa"/>
            <w:shd w:val="clear" w:color="auto" w:fill="F2F2F2" w:themeFill="background1" w:themeFillShade="F2"/>
          </w:tcPr>
          <w:p w:rsidR="00EA2BAA" w:rsidRPr="001320C3" w:rsidRDefault="00EA2BAA" w:rsidP="007770D9">
            <w:pPr>
              <w:rPr>
                <w:b/>
              </w:rPr>
            </w:pPr>
            <w:r w:rsidRPr="001320C3">
              <w:rPr>
                <w:b/>
              </w:rPr>
              <w:t>Beginner</w:t>
            </w:r>
          </w:p>
        </w:tc>
        <w:tc>
          <w:tcPr>
            <w:tcW w:w="1984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Initiates basic inquiry </w:t>
            </w:r>
            <w:r w:rsidRPr="001320C3">
              <w:rPr>
                <w:rFonts w:cs="TimesNewRomanPSMT"/>
                <w:sz w:val="20"/>
                <w:szCs w:val="20"/>
              </w:rPr>
              <w:t>identifies, uses, and cites</w:t>
            </w:r>
          </w:p>
          <w:p w:rsidR="00EA2BAA" w:rsidRDefault="00EA2BAA" w:rsidP="007770D9">
            <w:r w:rsidRPr="001320C3">
              <w:rPr>
                <w:rFonts w:cs="TimesNewRomanPSMT"/>
                <w:sz w:val="20"/>
                <w:szCs w:val="20"/>
              </w:rPr>
              <w:t>sources with assistance</w:t>
            </w:r>
          </w:p>
        </w:tc>
        <w:tc>
          <w:tcPr>
            <w:tcW w:w="1985" w:type="dxa"/>
          </w:tcPr>
          <w:p w:rsidR="00EA2BAA" w:rsidRPr="001320C3" w:rsidRDefault="00EA2BAA" w:rsidP="007770D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Demonstrates basic</w:t>
            </w:r>
          </w:p>
          <w:p w:rsidR="00EA2BAA" w:rsidRPr="001320C3" w:rsidRDefault="00EA2BAA" w:rsidP="007770D9">
            <w:pPr>
              <w:rPr>
                <w:sz w:val="20"/>
                <w:szCs w:val="20"/>
              </w:rPr>
            </w:pPr>
            <w:r w:rsidRPr="001320C3">
              <w:rPr>
                <w:rFonts w:cs="TimesNewRomanPSMT"/>
                <w:sz w:val="20"/>
                <w:szCs w:val="20"/>
              </w:rPr>
              <w:t>learning</w:t>
            </w:r>
          </w:p>
        </w:tc>
        <w:tc>
          <w:tcPr>
            <w:tcW w:w="1984" w:type="dxa"/>
          </w:tcPr>
          <w:p w:rsidR="00EA2BAA" w:rsidRPr="00DC6937" w:rsidRDefault="00EA2BAA" w:rsidP="007770D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C6937">
              <w:rPr>
                <w:rFonts w:asciiTheme="minorHAnsi" w:hAnsiTheme="minorHAnsi"/>
                <w:sz w:val="20"/>
                <w:szCs w:val="20"/>
              </w:rPr>
              <w:t>The pages are unattractive. Text is difficult to read. The backgrounds are distracting.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937">
              <w:rPr>
                <w:rFonts w:asciiTheme="minorHAnsi" w:hAnsiTheme="minorHAnsi"/>
                <w:sz w:val="20"/>
                <w:szCs w:val="20"/>
              </w:rPr>
              <w:t xml:space="preserve">There are 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images </w:t>
            </w:r>
            <w:r w:rsidRPr="00DC6937">
              <w:rPr>
                <w:rFonts w:asciiTheme="minorHAnsi" w:hAnsiTheme="minorHAnsi"/>
                <w:sz w:val="20"/>
                <w:szCs w:val="20"/>
              </w:rPr>
              <w:t>or they are inappropriate or of low quality.</w:t>
            </w:r>
          </w:p>
          <w:p w:rsidR="00EA2BAA" w:rsidRPr="00DC6937" w:rsidRDefault="00EA2BAA" w:rsidP="007770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BAA" w:rsidRPr="00A01DDA" w:rsidRDefault="00EA2BAA" w:rsidP="007770D9">
            <w:pPr>
              <w:rPr>
                <w:sz w:val="20"/>
                <w:szCs w:val="20"/>
              </w:rPr>
            </w:pPr>
            <w:r w:rsidRPr="00A01DDA">
              <w:rPr>
                <w:rFonts w:cs="Arial"/>
                <w:sz w:val="20"/>
                <w:szCs w:val="20"/>
              </w:rPr>
              <w:t>Partners argue or are disrespectful of other's ideas and input. Criticism is not constructive nor is support offered. The work is mostly done by one or two people.</w:t>
            </w:r>
          </w:p>
        </w:tc>
      </w:tr>
    </w:tbl>
    <w:p w:rsidR="00EA2BAA" w:rsidRDefault="00EA2BAA" w:rsidP="00EA2BAA">
      <w:pPr>
        <w:spacing w:after="0"/>
      </w:pPr>
    </w:p>
    <w:p w:rsidR="00EA2BAA" w:rsidRDefault="00EA2BAA" w:rsidP="00EA2BAA">
      <w:pPr>
        <w:spacing w:after="0"/>
      </w:pPr>
      <w:r>
        <w:t>Total =</w:t>
      </w:r>
      <w:r>
        <w:tab/>
      </w:r>
      <w:r>
        <w:tab/>
        <w:t>/ 16 marks</w:t>
      </w:r>
    </w:p>
    <w:p w:rsidR="00EA2BAA" w:rsidRDefault="00EA2BAA" w:rsidP="00EA2BAA">
      <w:pPr>
        <w:spacing w:after="0"/>
      </w:pPr>
    </w:p>
    <w:p w:rsidR="00EA2BAA" w:rsidRPr="003A003F" w:rsidRDefault="00EA2BAA" w:rsidP="00EA2BAA">
      <w:pPr>
        <w:spacing w:after="0"/>
      </w:pPr>
      <w:r>
        <w:t>Comments:</w:t>
      </w:r>
    </w:p>
    <w:p w:rsidR="009B7CFC" w:rsidRDefault="009B7CFC"/>
    <w:sectPr w:rsidR="009B7CFC" w:rsidSect="00BF553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A"/>
    <w:rsid w:val="0086386F"/>
    <w:rsid w:val="009B7CFC"/>
    <w:rsid w:val="00D53ED6"/>
    <w:rsid w:val="00EA2BAA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A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AA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A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AA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2</cp:revision>
  <dcterms:created xsi:type="dcterms:W3CDTF">2012-10-27T03:17:00Z</dcterms:created>
  <dcterms:modified xsi:type="dcterms:W3CDTF">2012-10-27T03:17:00Z</dcterms:modified>
</cp:coreProperties>
</file>